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2E75" w14:textId="1649A0F9" w:rsidR="00034851" w:rsidRDefault="0020243B">
      <w:pPr>
        <w:jc w:val="center"/>
        <w:rPr>
          <w:rFonts w:ascii="Arial" w:eastAsia="Arial" w:hAnsi="Arial" w:cs="Arial"/>
          <w:b/>
          <w:u w:val="single"/>
        </w:rPr>
      </w:pPr>
      <w:r>
        <w:rPr>
          <w:rFonts w:ascii="Arial" w:eastAsia="Arial" w:hAnsi="Arial" w:cs="Arial"/>
          <w:b/>
          <w:u w:val="single"/>
        </w:rPr>
        <w:t>List of Regulations relevant to SAMM</w:t>
      </w:r>
      <w:r w:rsidR="00AD61D2">
        <w:rPr>
          <w:rFonts w:ascii="Arial" w:eastAsia="Arial" w:hAnsi="Arial" w:cs="Arial"/>
          <w:b/>
          <w:u w:val="single"/>
        </w:rPr>
        <w:t xml:space="preserve"> Medical Testing</w:t>
      </w:r>
    </w:p>
    <w:p w14:paraId="6649F8CC" w14:textId="77777777" w:rsidR="00034851" w:rsidRDefault="00034851">
      <w:pPr>
        <w:rPr>
          <w:rFonts w:ascii="Arial" w:eastAsia="Arial" w:hAnsi="Arial" w:cs="Arial"/>
        </w:rPr>
      </w:pPr>
    </w:p>
    <w:tbl>
      <w:tblPr>
        <w:tblStyle w:val="a"/>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2055"/>
        <w:gridCol w:w="4665"/>
        <w:gridCol w:w="1455"/>
        <w:gridCol w:w="3510"/>
        <w:gridCol w:w="1575"/>
      </w:tblGrid>
      <w:tr w:rsidR="00034851" w14:paraId="4B4CDEC8" w14:textId="77777777" w:rsidTr="0020243B">
        <w:trPr>
          <w:tblHeader/>
        </w:trPr>
        <w:tc>
          <w:tcPr>
            <w:tcW w:w="1485" w:type="dxa"/>
          </w:tcPr>
          <w:p w14:paraId="3EDA9016" w14:textId="77777777" w:rsidR="00034851" w:rsidRDefault="0020243B">
            <w:pPr>
              <w:jc w:val="center"/>
              <w:rPr>
                <w:rFonts w:ascii="Arial" w:eastAsia="Arial" w:hAnsi="Arial" w:cs="Arial"/>
                <w:b/>
              </w:rPr>
            </w:pPr>
            <w:r>
              <w:rPr>
                <w:rFonts w:ascii="Arial" w:eastAsia="Arial" w:hAnsi="Arial" w:cs="Arial"/>
                <w:b/>
              </w:rPr>
              <w:t>Scheme</w:t>
            </w:r>
          </w:p>
        </w:tc>
        <w:tc>
          <w:tcPr>
            <w:tcW w:w="2055" w:type="dxa"/>
          </w:tcPr>
          <w:p w14:paraId="61D67DFF" w14:textId="77777777" w:rsidR="00034851" w:rsidRDefault="0020243B">
            <w:pPr>
              <w:jc w:val="center"/>
              <w:rPr>
                <w:rFonts w:ascii="Arial" w:eastAsia="Arial" w:hAnsi="Arial" w:cs="Arial"/>
                <w:b/>
              </w:rPr>
            </w:pPr>
            <w:r>
              <w:rPr>
                <w:rFonts w:ascii="Arial" w:eastAsia="Arial" w:hAnsi="Arial" w:cs="Arial"/>
                <w:b/>
              </w:rPr>
              <w:t>Programme /Fields</w:t>
            </w:r>
          </w:p>
        </w:tc>
        <w:tc>
          <w:tcPr>
            <w:tcW w:w="4665" w:type="dxa"/>
          </w:tcPr>
          <w:p w14:paraId="7CAC8FF3" w14:textId="77777777" w:rsidR="00034851" w:rsidRDefault="0020243B">
            <w:pPr>
              <w:jc w:val="center"/>
              <w:rPr>
                <w:rFonts w:ascii="Arial" w:eastAsia="Arial" w:hAnsi="Arial" w:cs="Arial"/>
                <w:b/>
              </w:rPr>
            </w:pPr>
            <w:r>
              <w:rPr>
                <w:rFonts w:ascii="Arial" w:eastAsia="Arial" w:hAnsi="Arial" w:cs="Arial"/>
                <w:b/>
              </w:rPr>
              <w:t>Regulation / requirements</w:t>
            </w:r>
          </w:p>
        </w:tc>
        <w:tc>
          <w:tcPr>
            <w:tcW w:w="1455" w:type="dxa"/>
          </w:tcPr>
          <w:p w14:paraId="031B6833" w14:textId="77777777" w:rsidR="00034851" w:rsidRDefault="0020243B">
            <w:pPr>
              <w:jc w:val="center"/>
              <w:rPr>
                <w:rFonts w:ascii="Arial" w:eastAsia="Arial" w:hAnsi="Arial" w:cs="Arial"/>
                <w:b/>
              </w:rPr>
            </w:pPr>
            <w:r>
              <w:rPr>
                <w:rFonts w:ascii="Arial" w:eastAsia="Arial" w:hAnsi="Arial" w:cs="Arial"/>
                <w:b/>
              </w:rPr>
              <w:t>Regulatory Agency</w:t>
            </w:r>
          </w:p>
        </w:tc>
        <w:tc>
          <w:tcPr>
            <w:tcW w:w="3510" w:type="dxa"/>
          </w:tcPr>
          <w:p w14:paraId="4D791703" w14:textId="77777777" w:rsidR="00034851" w:rsidRDefault="0020243B">
            <w:pPr>
              <w:jc w:val="center"/>
              <w:rPr>
                <w:rFonts w:ascii="Arial" w:eastAsia="Arial" w:hAnsi="Arial" w:cs="Arial"/>
                <w:b/>
              </w:rPr>
            </w:pPr>
            <w:r>
              <w:rPr>
                <w:rFonts w:ascii="Arial" w:eastAsia="Arial" w:hAnsi="Arial" w:cs="Arial"/>
                <w:b/>
              </w:rPr>
              <w:t>Reference</w:t>
            </w:r>
          </w:p>
        </w:tc>
        <w:tc>
          <w:tcPr>
            <w:tcW w:w="1575" w:type="dxa"/>
          </w:tcPr>
          <w:p w14:paraId="3974A78F" w14:textId="77777777" w:rsidR="00034851" w:rsidRDefault="0020243B">
            <w:pPr>
              <w:jc w:val="center"/>
              <w:rPr>
                <w:rFonts w:ascii="Arial" w:eastAsia="Arial" w:hAnsi="Arial" w:cs="Arial"/>
                <w:b/>
              </w:rPr>
            </w:pPr>
            <w:r>
              <w:rPr>
                <w:rFonts w:ascii="Arial" w:eastAsia="Arial" w:hAnsi="Arial" w:cs="Arial"/>
                <w:b/>
              </w:rPr>
              <w:t>Standards Malaysia Ref.</w:t>
            </w:r>
          </w:p>
        </w:tc>
      </w:tr>
      <w:tr w:rsidR="00034851" w14:paraId="47E50431" w14:textId="77777777">
        <w:tc>
          <w:tcPr>
            <w:tcW w:w="1485" w:type="dxa"/>
          </w:tcPr>
          <w:p w14:paraId="08BEE9F3" w14:textId="77777777" w:rsidR="00034851" w:rsidRDefault="0020243B">
            <w:pPr>
              <w:rPr>
                <w:rFonts w:ascii="Arial" w:eastAsia="Arial" w:hAnsi="Arial" w:cs="Arial"/>
              </w:rPr>
            </w:pPr>
            <w:r>
              <w:rPr>
                <w:rFonts w:ascii="Arial" w:eastAsia="Arial" w:hAnsi="Arial" w:cs="Arial"/>
              </w:rPr>
              <w:t>SAMM</w:t>
            </w:r>
          </w:p>
        </w:tc>
        <w:tc>
          <w:tcPr>
            <w:tcW w:w="2055" w:type="dxa"/>
          </w:tcPr>
          <w:p w14:paraId="1F21C621" w14:textId="77777777" w:rsidR="00034851" w:rsidRDefault="0020243B">
            <w:pPr>
              <w:rPr>
                <w:rFonts w:ascii="Arial" w:eastAsia="Arial" w:hAnsi="Arial" w:cs="Arial"/>
              </w:rPr>
            </w:pPr>
            <w:r>
              <w:rPr>
                <w:rFonts w:ascii="Arial" w:eastAsia="Arial" w:hAnsi="Arial" w:cs="Arial"/>
              </w:rPr>
              <w:t>Medical Testing</w:t>
            </w:r>
          </w:p>
          <w:p w14:paraId="6DBA91F7" w14:textId="77777777" w:rsidR="00034851" w:rsidRDefault="00034851">
            <w:pPr>
              <w:rPr>
                <w:rFonts w:ascii="Arial" w:eastAsia="Arial" w:hAnsi="Arial" w:cs="Arial"/>
              </w:rPr>
            </w:pPr>
          </w:p>
        </w:tc>
        <w:tc>
          <w:tcPr>
            <w:tcW w:w="4665" w:type="dxa"/>
          </w:tcPr>
          <w:p w14:paraId="297E907E" w14:textId="77777777" w:rsidR="00034851" w:rsidRDefault="0020243B">
            <w:pPr>
              <w:rPr>
                <w:rFonts w:ascii="Arial" w:eastAsia="Arial" w:hAnsi="Arial" w:cs="Arial"/>
              </w:rPr>
            </w:pPr>
            <w:r>
              <w:rPr>
                <w:rFonts w:ascii="Arial" w:eastAsia="Arial" w:hAnsi="Arial" w:cs="Arial"/>
                <w:highlight w:val="white"/>
              </w:rPr>
              <w:t>It is mandatory for any fully registered medical practitioner who wishes to practice medicine in this country to apply for an Annual Practicing Certificate (APC) after the first year of his full registration.</w:t>
            </w:r>
          </w:p>
        </w:tc>
        <w:tc>
          <w:tcPr>
            <w:tcW w:w="1455" w:type="dxa"/>
          </w:tcPr>
          <w:p w14:paraId="7779EAA4" w14:textId="77777777" w:rsidR="00034851" w:rsidRDefault="0020243B">
            <w:pPr>
              <w:rPr>
                <w:rFonts w:ascii="Arial" w:eastAsia="Arial" w:hAnsi="Arial" w:cs="Arial"/>
              </w:rPr>
            </w:pPr>
            <w:r>
              <w:rPr>
                <w:rFonts w:ascii="Arial" w:eastAsia="Arial" w:hAnsi="Arial" w:cs="Arial"/>
              </w:rPr>
              <w:t>KKM</w:t>
            </w:r>
          </w:p>
        </w:tc>
        <w:tc>
          <w:tcPr>
            <w:tcW w:w="3510" w:type="dxa"/>
          </w:tcPr>
          <w:p w14:paraId="1B2B909D" w14:textId="77777777" w:rsidR="00034851" w:rsidRDefault="0020243B">
            <w:pPr>
              <w:rPr>
                <w:rFonts w:ascii="Arial" w:eastAsia="Arial" w:hAnsi="Arial" w:cs="Arial"/>
              </w:rPr>
            </w:pPr>
            <w:r>
              <w:rPr>
                <w:rFonts w:ascii="Arial" w:eastAsia="Arial" w:hAnsi="Arial" w:cs="Arial"/>
                <w:highlight w:val="white"/>
              </w:rPr>
              <w:t>Medical Act 1971</w:t>
            </w:r>
          </w:p>
        </w:tc>
        <w:tc>
          <w:tcPr>
            <w:tcW w:w="1575" w:type="dxa"/>
          </w:tcPr>
          <w:p w14:paraId="71579466" w14:textId="77777777" w:rsidR="00034851" w:rsidRDefault="0020243B">
            <w:pPr>
              <w:rPr>
                <w:rFonts w:ascii="Arial" w:eastAsia="Arial" w:hAnsi="Arial" w:cs="Arial"/>
              </w:rPr>
            </w:pPr>
            <w:r>
              <w:rPr>
                <w:rFonts w:ascii="Arial" w:eastAsia="Arial" w:hAnsi="Arial" w:cs="Arial"/>
              </w:rPr>
              <w:t>SC 2</w:t>
            </w:r>
          </w:p>
        </w:tc>
      </w:tr>
      <w:tr w:rsidR="00034851" w14:paraId="59825B0B" w14:textId="77777777">
        <w:tc>
          <w:tcPr>
            <w:tcW w:w="1485" w:type="dxa"/>
          </w:tcPr>
          <w:p w14:paraId="37DE9E73" w14:textId="77777777" w:rsidR="00034851" w:rsidRDefault="0020243B">
            <w:pPr>
              <w:rPr>
                <w:rFonts w:ascii="Arial" w:eastAsia="Arial" w:hAnsi="Arial" w:cs="Arial"/>
              </w:rPr>
            </w:pPr>
            <w:r>
              <w:rPr>
                <w:rFonts w:ascii="Arial" w:eastAsia="Arial" w:hAnsi="Arial" w:cs="Arial"/>
              </w:rPr>
              <w:t>SAMM</w:t>
            </w:r>
          </w:p>
        </w:tc>
        <w:tc>
          <w:tcPr>
            <w:tcW w:w="2055" w:type="dxa"/>
          </w:tcPr>
          <w:p w14:paraId="727162AA" w14:textId="77777777" w:rsidR="00034851" w:rsidRDefault="0020243B">
            <w:pPr>
              <w:rPr>
                <w:rFonts w:ascii="Arial" w:eastAsia="Arial" w:hAnsi="Arial" w:cs="Arial"/>
              </w:rPr>
            </w:pPr>
            <w:r>
              <w:rPr>
                <w:rFonts w:ascii="Arial" w:eastAsia="Arial" w:hAnsi="Arial" w:cs="Arial"/>
              </w:rPr>
              <w:t>Medical Testing</w:t>
            </w:r>
          </w:p>
          <w:p w14:paraId="02E2F924" w14:textId="77777777" w:rsidR="00034851" w:rsidRDefault="00034851">
            <w:pPr>
              <w:rPr>
                <w:rFonts w:ascii="Arial" w:eastAsia="Arial" w:hAnsi="Arial" w:cs="Arial"/>
              </w:rPr>
            </w:pPr>
          </w:p>
        </w:tc>
        <w:tc>
          <w:tcPr>
            <w:tcW w:w="4665" w:type="dxa"/>
          </w:tcPr>
          <w:p w14:paraId="587C8469" w14:textId="73AFEF01" w:rsidR="00034851" w:rsidRDefault="007D68C4">
            <w:pPr>
              <w:rPr>
                <w:rFonts w:ascii="Arial" w:eastAsia="Arial" w:hAnsi="Arial" w:cs="Arial"/>
                <w:highlight w:val="white"/>
              </w:rPr>
            </w:pPr>
            <w:r>
              <w:rPr>
                <w:rFonts w:ascii="Arial" w:eastAsia="Arial" w:hAnsi="Arial" w:cs="Arial"/>
                <w:highlight w:val="white"/>
              </w:rPr>
              <w:t>T</w:t>
            </w:r>
            <w:r w:rsidR="0020243B">
              <w:rPr>
                <w:rFonts w:ascii="Arial" w:eastAsia="Arial" w:hAnsi="Arial" w:cs="Arial"/>
                <w:highlight w:val="white"/>
              </w:rPr>
              <w:t xml:space="preserve">he establishment of a National Accreditation Standard for medical testing laboratories based on ISO 15189, and the passing of the Pathology Laboratory Act in Parliament in mid-2007. The Pathology Laboratory Act 2007 seeks to ensure that the pathology laboratory is accountable to the public, meets required standards of practice, participates in Quality Assurance programmes, is run by qualified staff, complies with safety requirements and is subject to continuous audit. The Act is applicable to all private laboratories (stand alone or hospital) and laboratories in statutory bodies (Universities, foundations). </w:t>
            </w:r>
          </w:p>
        </w:tc>
        <w:tc>
          <w:tcPr>
            <w:tcW w:w="1455" w:type="dxa"/>
          </w:tcPr>
          <w:p w14:paraId="3BF0A20A" w14:textId="77777777" w:rsidR="00034851" w:rsidRDefault="0020243B">
            <w:pPr>
              <w:rPr>
                <w:rFonts w:ascii="Arial" w:eastAsia="Arial" w:hAnsi="Arial" w:cs="Arial"/>
              </w:rPr>
            </w:pPr>
            <w:r>
              <w:rPr>
                <w:rFonts w:ascii="Arial" w:eastAsia="Arial" w:hAnsi="Arial" w:cs="Arial"/>
              </w:rPr>
              <w:t>KKM</w:t>
            </w:r>
          </w:p>
        </w:tc>
        <w:tc>
          <w:tcPr>
            <w:tcW w:w="3510" w:type="dxa"/>
          </w:tcPr>
          <w:p w14:paraId="198527B6" w14:textId="77777777" w:rsidR="00034851" w:rsidRDefault="0020243B">
            <w:pPr>
              <w:rPr>
                <w:rFonts w:ascii="Arial" w:eastAsia="Arial" w:hAnsi="Arial" w:cs="Arial"/>
                <w:highlight w:val="white"/>
              </w:rPr>
            </w:pPr>
            <w:r>
              <w:rPr>
                <w:rFonts w:ascii="Arial" w:eastAsia="Arial" w:hAnsi="Arial" w:cs="Arial"/>
                <w:highlight w:val="white"/>
              </w:rPr>
              <w:t>Pathology Laboratory Act 2007</w:t>
            </w:r>
          </w:p>
        </w:tc>
        <w:tc>
          <w:tcPr>
            <w:tcW w:w="1575" w:type="dxa"/>
          </w:tcPr>
          <w:p w14:paraId="24512EEF" w14:textId="77777777" w:rsidR="00034851" w:rsidRDefault="0020243B">
            <w:pPr>
              <w:rPr>
                <w:rFonts w:ascii="Arial" w:eastAsia="Arial" w:hAnsi="Arial" w:cs="Arial"/>
              </w:rPr>
            </w:pPr>
            <w:r>
              <w:rPr>
                <w:rFonts w:ascii="Arial" w:eastAsia="Arial" w:hAnsi="Arial" w:cs="Arial"/>
              </w:rPr>
              <w:t>SC 2</w:t>
            </w:r>
          </w:p>
        </w:tc>
      </w:tr>
      <w:tr w:rsidR="00034851" w14:paraId="725373EC" w14:textId="77777777">
        <w:tc>
          <w:tcPr>
            <w:tcW w:w="1485" w:type="dxa"/>
          </w:tcPr>
          <w:p w14:paraId="78EB9520" w14:textId="77777777" w:rsidR="00034851" w:rsidRDefault="0020243B">
            <w:pPr>
              <w:rPr>
                <w:rFonts w:ascii="Arial" w:eastAsia="Arial" w:hAnsi="Arial" w:cs="Arial"/>
              </w:rPr>
            </w:pPr>
            <w:r>
              <w:rPr>
                <w:rFonts w:ascii="Arial" w:eastAsia="Arial" w:hAnsi="Arial" w:cs="Arial"/>
              </w:rPr>
              <w:t>SAMM</w:t>
            </w:r>
          </w:p>
        </w:tc>
        <w:tc>
          <w:tcPr>
            <w:tcW w:w="2055" w:type="dxa"/>
          </w:tcPr>
          <w:p w14:paraId="00C4EE8E" w14:textId="77777777" w:rsidR="00034851" w:rsidRDefault="0020243B">
            <w:pPr>
              <w:rPr>
                <w:rFonts w:ascii="Arial" w:eastAsia="Arial" w:hAnsi="Arial" w:cs="Arial"/>
              </w:rPr>
            </w:pPr>
            <w:r>
              <w:rPr>
                <w:rFonts w:ascii="Arial" w:eastAsia="Arial" w:hAnsi="Arial" w:cs="Arial"/>
              </w:rPr>
              <w:t>Medical Testing</w:t>
            </w:r>
          </w:p>
          <w:p w14:paraId="1E006FDD" w14:textId="77777777" w:rsidR="00034851" w:rsidRDefault="00034851">
            <w:pPr>
              <w:rPr>
                <w:rFonts w:ascii="Arial" w:eastAsia="Arial" w:hAnsi="Arial" w:cs="Arial"/>
              </w:rPr>
            </w:pPr>
          </w:p>
        </w:tc>
        <w:tc>
          <w:tcPr>
            <w:tcW w:w="4665" w:type="dxa"/>
          </w:tcPr>
          <w:p w14:paraId="11D0468F" w14:textId="77777777" w:rsidR="00034851" w:rsidRDefault="0020243B">
            <w:pPr>
              <w:rPr>
                <w:rFonts w:ascii="Arial" w:eastAsia="Arial" w:hAnsi="Arial" w:cs="Arial"/>
                <w:highlight w:val="white"/>
              </w:rPr>
            </w:pPr>
            <w:r>
              <w:rPr>
                <w:rFonts w:ascii="Arial" w:eastAsia="Arial" w:hAnsi="Arial" w:cs="Arial"/>
                <w:highlight w:val="white"/>
              </w:rPr>
              <w:t>For licensing and monitoring of private healthcare facilities.</w:t>
            </w:r>
          </w:p>
        </w:tc>
        <w:tc>
          <w:tcPr>
            <w:tcW w:w="1455" w:type="dxa"/>
          </w:tcPr>
          <w:p w14:paraId="7E2F8FAF" w14:textId="77777777" w:rsidR="00034851" w:rsidRDefault="0020243B">
            <w:pPr>
              <w:rPr>
                <w:rFonts w:ascii="Arial" w:eastAsia="Arial" w:hAnsi="Arial" w:cs="Arial"/>
              </w:rPr>
            </w:pPr>
            <w:r>
              <w:rPr>
                <w:rFonts w:ascii="Arial" w:eastAsia="Arial" w:hAnsi="Arial" w:cs="Arial"/>
              </w:rPr>
              <w:t>KKM</w:t>
            </w:r>
          </w:p>
        </w:tc>
        <w:tc>
          <w:tcPr>
            <w:tcW w:w="3510" w:type="dxa"/>
          </w:tcPr>
          <w:p w14:paraId="01A829D2" w14:textId="77777777" w:rsidR="00034851" w:rsidRDefault="0020243B">
            <w:pPr>
              <w:rPr>
                <w:rFonts w:ascii="Arial" w:eastAsia="Arial" w:hAnsi="Arial" w:cs="Arial"/>
                <w:highlight w:val="white"/>
              </w:rPr>
            </w:pPr>
            <w:r>
              <w:rPr>
                <w:rFonts w:ascii="Arial" w:eastAsia="Arial" w:hAnsi="Arial" w:cs="Arial"/>
                <w:highlight w:val="white"/>
              </w:rPr>
              <w:t>Private Healthcare Facilities and Services Act 1998</w:t>
            </w:r>
          </w:p>
          <w:p w14:paraId="2B59151D" w14:textId="77777777" w:rsidR="00034851" w:rsidRDefault="00726687">
            <w:pPr>
              <w:rPr>
                <w:rFonts w:ascii="Arial" w:eastAsia="Arial" w:hAnsi="Arial" w:cs="Arial"/>
                <w:highlight w:val="white"/>
              </w:rPr>
            </w:pPr>
            <w:hyperlink r:id="rId5">
              <w:r w:rsidR="0020243B">
                <w:rPr>
                  <w:rFonts w:ascii="Arial" w:eastAsia="Arial" w:hAnsi="Arial" w:cs="Arial"/>
                  <w:color w:val="1155CC"/>
                  <w:highlight w:val="white"/>
                  <w:u w:val="single"/>
                </w:rPr>
                <w:t>https://www.mma.org.my/images/pdfs/Link-LawOfMsiaAct/private-healthcare-facilities-and-services-act-1998.pdf</w:t>
              </w:r>
            </w:hyperlink>
          </w:p>
        </w:tc>
        <w:tc>
          <w:tcPr>
            <w:tcW w:w="1575" w:type="dxa"/>
          </w:tcPr>
          <w:p w14:paraId="138BB961" w14:textId="77777777" w:rsidR="00034851" w:rsidRDefault="0020243B">
            <w:pPr>
              <w:rPr>
                <w:rFonts w:ascii="Arial" w:eastAsia="Arial" w:hAnsi="Arial" w:cs="Arial"/>
              </w:rPr>
            </w:pPr>
            <w:r>
              <w:rPr>
                <w:rFonts w:ascii="Arial" w:eastAsia="Arial" w:hAnsi="Arial" w:cs="Arial"/>
              </w:rPr>
              <w:t>SC 2</w:t>
            </w:r>
          </w:p>
        </w:tc>
      </w:tr>
      <w:tr w:rsidR="00034851" w14:paraId="2D618686" w14:textId="77777777">
        <w:tc>
          <w:tcPr>
            <w:tcW w:w="1485" w:type="dxa"/>
          </w:tcPr>
          <w:p w14:paraId="06931757" w14:textId="77777777" w:rsidR="00034851" w:rsidRDefault="0020243B">
            <w:pPr>
              <w:rPr>
                <w:rFonts w:ascii="Arial" w:eastAsia="Arial" w:hAnsi="Arial" w:cs="Arial"/>
              </w:rPr>
            </w:pPr>
            <w:r>
              <w:rPr>
                <w:rFonts w:ascii="Arial" w:eastAsia="Arial" w:hAnsi="Arial" w:cs="Arial"/>
              </w:rPr>
              <w:t>SAMM</w:t>
            </w:r>
          </w:p>
        </w:tc>
        <w:tc>
          <w:tcPr>
            <w:tcW w:w="2055" w:type="dxa"/>
          </w:tcPr>
          <w:p w14:paraId="53F3245E" w14:textId="77777777" w:rsidR="00034851" w:rsidRDefault="0020243B">
            <w:pPr>
              <w:rPr>
                <w:rFonts w:ascii="Arial" w:eastAsia="Arial" w:hAnsi="Arial" w:cs="Arial"/>
              </w:rPr>
            </w:pPr>
            <w:r>
              <w:rPr>
                <w:rFonts w:ascii="Arial" w:eastAsia="Arial" w:hAnsi="Arial" w:cs="Arial"/>
              </w:rPr>
              <w:t>Medical Testing</w:t>
            </w:r>
          </w:p>
          <w:p w14:paraId="31C71A18" w14:textId="77777777" w:rsidR="00034851" w:rsidRDefault="00034851">
            <w:pPr>
              <w:rPr>
                <w:rFonts w:ascii="Arial" w:eastAsia="Arial" w:hAnsi="Arial" w:cs="Arial"/>
              </w:rPr>
            </w:pPr>
          </w:p>
        </w:tc>
        <w:tc>
          <w:tcPr>
            <w:tcW w:w="4665" w:type="dxa"/>
          </w:tcPr>
          <w:p w14:paraId="3E40CC6E" w14:textId="77777777" w:rsidR="00034851" w:rsidRDefault="0020243B">
            <w:pPr>
              <w:rPr>
                <w:rFonts w:ascii="Arial" w:eastAsia="Arial" w:hAnsi="Arial" w:cs="Arial"/>
                <w:highlight w:val="white"/>
              </w:rPr>
            </w:pPr>
            <w:r>
              <w:rPr>
                <w:rFonts w:ascii="Arial" w:eastAsia="Arial" w:hAnsi="Arial" w:cs="Arial"/>
                <w:highlight w:val="white"/>
              </w:rPr>
              <w:t>An Act to regulate medical devices, the industry and to provide matters connected thereto</w:t>
            </w:r>
          </w:p>
          <w:p w14:paraId="56EF7D43" w14:textId="77777777" w:rsidR="00034851" w:rsidRDefault="00034851">
            <w:pPr>
              <w:rPr>
                <w:rFonts w:ascii="Arial" w:eastAsia="Arial" w:hAnsi="Arial" w:cs="Arial"/>
                <w:highlight w:val="white"/>
              </w:rPr>
            </w:pPr>
          </w:p>
          <w:p w14:paraId="3CA5635C" w14:textId="77777777" w:rsidR="00034851" w:rsidRDefault="00034851">
            <w:pPr>
              <w:rPr>
                <w:rFonts w:ascii="Arial" w:eastAsia="Arial" w:hAnsi="Arial" w:cs="Arial"/>
                <w:highlight w:val="white"/>
              </w:rPr>
            </w:pPr>
          </w:p>
          <w:p w14:paraId="2FE1891B" w14:textId="77777777" w:rsidR="00034851" w:rsidRDefault="00034851">
            <w:pPr>
              <w:rPr>
                <w:rFonts w:ascii="Arial" w:eastAsia="Arial" w:hAnsi="Arial" w:cs="Arial"/>
                <w:highlight w:val="white"/>
              </w:rPr>
            </w:pPr>
          </w:p>
          <w:p w14:paraId="7A558BA0" w14:textId="77777777" w:rsidR="00034851" w:rsidRDefault="0020243B">
            <w:pPr>
              <w:rPr>
                <w:rFonts w:ascii="Arial" w:eastAsia="Arial" w:hAnsi="Arial" w:cs="Arial"/>
                <w:highlight w:val="white"/>
              </w:rPr>
            </w:pPr>
            <w:r>
              <w:rPr>
                <w:rFonts w:ascii="Arial" w:eastAsia="Arial" w:hAnsi="Arial" w:cs="Arial"/>
                <w:highlight w:val="white"/>
              </w:rPr>
              <w:t>Laboratory is required to used vendors/supplies of reagent which has registered with MDA.</w:t>
            </w:r>
          </w:p>
        </w:tc>
        <w:tc>
          <w:tcPr>
            <w:tcW w:w="1455" w:type="dxa"/>
          </w:tcPr>
          <w:p w14:paraId="3EDA6985" w14:textId="77777777" w:rsidR="00034851" w:rsidRDefault="0020243B">
            <w:pPr>
              <w:rPr>
                <w:rFonts w:ascii="Arial" w:eastAsia="Arial" w:hAnsi="Arial" w:cs="Arial"/>
              </w:rPr>
            </w:pPr>
            <w:r>
              <w:rPr>
                <w:rFonts w:ascii="Arial" w:eastAsia="Arial" w:hAnsi="Arial" w:cs="Arial"/>
              </w:rPr>
              <w:lastRenderedPageBreak/>
              <w:t>MDA</w:t>
            </w:r>
          </w:p>
        </w:tc>
        <w:tc>
          <w:tcPr>
            <w:tcW w:w="3510" w:type="dxa"/>
          </w:tcPr>
          <w:p w14:paraId="5C0ED879" w14:textId="77777777" w:rsidR="00034851" w:rsidRDefault="0020243B">
            <w:pPr>
              <w:rPr>
                <w:rFonts w:ascii="Arial" w:eastAsia="Arial" w:hAnsi="Arial" w:cs="Arial"/>
                <w:highlight w:val="white"/>
              </w:rPr>
            </w:pPr>
            <w:r>
              <w:rPr>
                <w:rFonts w:ascii="Arial" w:eastAsia="Arial" w:hAnsi="Arial" w:cs="Arial"/>
                <w:highlight w:val="white"/>
              </w:rPr>
              <w:t>Act 737 Medical Device Authority Act 2012</w:t>
            </w:r>
          </w:p>
          <w:p w14:paraId="40938CE6" w14:textId="77777777" w:rsidR="00034851" w:rsidRDefault="00726687">
            <w:pPr>
              <w:rPr>
                <w:rFonts w:ascii="Arial" w:eastAsia="Arial" w:hAnsi="Arial" w:cs="Arial"/>
                <w:highlight w:val="white"/>
              </w:rPr>
            </w:pPr>
            <w:hyperlink r:id="rId6">
              <w:r w:rsidR="0020243B">
                <w:rPr>
                  <w:rFonts w:ascii="Arial" w:eastAsia="Arial" w:hAnsi="Arial" w:cs="Arial"/>
                  <w:color w:val="1155CC"/>
                  <w:highlight w:val="white"/>
                  <w:u w:val="single"/>
                </w:rPr>
                <w:t>http://www.federalgazette.agc.gov.my/outputaktap/20120209_737_BI_JW001759%20Act%20737%20(BI).pdf</w:t>
              </w:r>
            </w:hyperlink>
          </w:p>
          <w:p w14:paraId="77911F74" w14:textId="77777777" w:rsidR="00034851" w:rsidRDefault="00034851">
            <w:pPr>
              <w:rPr>
                <w:rFonts w:ascii="Arial" w:eastAsia="Arial" w:hAnsi="Arial" w:cs="Arial"/>
                <w:highlight w:val="white"/>
              </w:rPr>
            </w:pPr>
          </w:p>
          <w:p w14:paraId="1570A56C" w14:textId="77777777" w:rsidR="00034851" w:rsidRDefault="0020243B">
            <w:pPr>
              <w:rPr>
                <w:rFonts w:ascii="Arial" w:eastAsia="Arial" w:hAnsi="Arial" w:cs="Arial"/>
                <w:highlight w:val="white"/>
              </w:rPr>
            </w:pPr>
            <w:r>
              <w:rPr>
                <w:rFonts w:ascii="Arial" w:eastAsia="Arial" w:hAnsi="Arial" w:cs="Arial"/>
                <w:highlight w:val="white"/>
              </w:rPr>
              <w:t xml:space="preserve">Surat </w:t>
            </w:r>
            <w:proofErr w:type="spellStart"/>
            <w:r>
              <w:rPr>
                <w:rFonts w:ascii="Arial" w:eastAsia="Arial" w:hAnsi="Arial" w:cs="Arial"/>
                <w:highlight w:val="white"/>
              </w:rPr>
              <w:t>pekeliling</w:t>
            </w:r>
            <w:proofErr w:type="spellEnd"/>
            <w:r>
              <w:rPr>
                <w:rFonts w:ascii="Arial" w:eastAsia="Arial" w:hAnsi="Arial" w:cs="Arial"/>
                <w:highlight w:val="white"/>
              </w:rPr>
              <w:t>….</w:t>
            </w:r>
          </w:p>
          <w:p w14:paraId="1D86D284" w14:textId="77777777" w:rsidR="00034851" w:rsidRDefault="00726687">
            <w:pPr>
              <w:rPr>
                <w:rFonts w:ascii="Arial" w:eastAsia="Arial" w:hAnsi="Arial" w:cs="Arial"/>
                <w:highlight w:val="white"/>
              </w:rPr>
            </w:pPr>
            <w:hyperlink r:id="rId7">
              <w:r w:rsidR="0020243B">
                <w:rPr>
                  <w:rFonts w:ascii="Arial" w:eastAsia="Arial" w:hAnsi="Arial" w:cs="Arial"/>
                  <w:color w:val="1155CC"/>
                  <w:highlight w:val="white"/>
                  <w:u w:val="single"/>
                </w:rPr>
                <w:t>https://portal.mda.gov.my/doc-list/circular-letter.html</w:t>
              </w:r>
            </w:hyperlink>
          </w:p>
        </w:tc>
        <w:tc>
          <w:tcPr>
            <w:tcW w:w="1575" w:type="dxa"/>
          </w:tcPr>
          <w:p w14:paraId="5846C0DB" w14:textId="77777777" w:rsidR="00034851" w:rsidRDefault="00034851">
            <w:pPr>
              <w:rPr>
                <w:rFonts w:ascii="Arial" w:eastAsia="Arial" w:hAnsi="Arial" w:cs="Arial"/>
              </w:rPr>
            </w:pPr>
          </w:p>
        </w:tc>
      </w:tr>
      <w:tr w:rsidR="00034851" w14:paraId="132134F2" w14:textId="77777777">
        <w:tc>
          <w:tcPr>
            <w:tcW w:w="1485" w:type="dxa"/>
          </w:tcPr>
          <w:p w14:paraId="11728AEA" w14:textId="77777777" w:rsidR="00034851" w:rsidRDefault="0020243B">
            <w:pPr>
              <w:rPr>
                <w:rFonts w:ascii="Arial" w:eastAsia="Arial" w:hAnsi="Arial" w:cs="Arial"/>
              </w:rPr>
            </w:pPr>
            <w:r>
              <w:rPr>
                <w:rFonts w:ascii="Arial" w:eastAsia="Arial" w:hAnsi="Arial" w:cs="Arial"/>
              </w:rPr>
              <w:t>SAMM</w:t>
            </w:r>
          </w:p>
        </w:tc>
        <w:tc>
          <w:tcPr>
            <w:tcW w:w="2055" w:type="dxa"/>
          </w:tcPr>
          <w:p w14:paraId="7247EA61" w14:textId="77777777" w:rsidR="00034851" w:rsidRDefault="0020243B">
            <w:pPr>
              <w:rPr>
                <w:rFonts w:ascii="Arial" w:eastAsia="Arial" w:hAnsi="Arial" w:cs="Arial"/>
              </w:rPr>
            </w:pPr>
            <w:r>
              <w:rPr>
                <w:rFonts w:ascii="Arial" w:eastAsia="Arial" w:hAnsi="Arial" w:cs="Arial"/>
              </w:rPr>
              <w:t>Medical Testing</w:t>
            </w:r>
          </w:p>
          <w:p w14:paraId="4BF76DFE" w14:textId="77777777" w:rsidR="00034851" w:rsidRDefault="00034851">
            <w:pPr>
              <w:rPr>
                <w:rFonts w:ascii="Arial" w:eastAsia="Arial" w:hAnsi="Arial" w:cs="Arial"/>
              </w:rPr>
            </w:pPr>
          </w:p>
        </w:tc>
        <w:tc>
          <w:tcPr>
            <w:tcW w:w="4665" w:type="dxa"/>
          </w:tcPr>
          <w:p w14:paraId="6E4392B2" w14:textId="77777777" w:rsidR="00034851" w:rsidRDefault="0020243B">
            <w:pPr>
              <w:rPr>
                <w:rFonts w:ascii="Arial" w:eastAsia="Arial" w:hAnsi="Arial" w:cs="Arial"/>
                <w:highlight w:val="white"/>
              </w:rPr>
            </w:pPr>
            <w:r>
              <w:rPr>
                <w:rFonts w:ascii="Arial" w:eastAsia="Arial" w:hAnsi="Arial" w:cs="Arial"/>
                <w:highlight w:val="white"/>
              </w:rPr>
              <w:t>A Joint Committee of the College of Pathologists, Academy of Medicine Malaysia (</w:t>
            </w:r>
            <w:proofErr w:type="spellStart"/>
            <w:r>
              <w:rPr>
                <w:rFonts w:ascii="Arial" w:eastAsia="Arial" w:hAnsi="Arial" w:cs="Arial"/>
                <w:highlight w:val="white"/>
              </w:rPr>
              <w:t>CPath</w:t>
            </w:r>
            <w:proofErr w:type="spellEnd"/>
            <w:r>
              <w:rPr>
                <w:rFonts w:ascii="Arial" w:eastAsia="Arial" w:hAnsi="Arial" w:cs="Arial"/>
                <w:highlight w:val="white"/>
              </w:rPr>
              <w:t>) and the Ministry of Health of Malaysia (MOH) was established in early 2004 to develop guidelines on the minimum requirements for retention of pathology records and materials for Pathology Laboratories in Malaysia.</w:t>
            </w:r>
          </w:p>
        </w:tc>
        <w:tc>
          <w:tcPr>
            <w:tcW w:w="1455" w:type="dxa"/>
          </w:tcPr>
          <w:p w14:paraId="315FA64F" w14:textId="77777777" w:rsidR="00034851" w:rsidRDefault="0020243B">
            <w:pPr>
              <w:rPr>
                <w:rFonts w:ascii="Arial" w:eastAsia="Arial" w:hAnsi="Arial" w:cs="Arial"/>
              </w:rPr>
            </w:pPr>
            <w:r>
              <w:rPr>
                <w:rFonts w:ascii="Arial" w:eastAsia="Arial" w:hAnsi="Arial" w:cs="Arial"/>
              </w:rPr>
              <w:t>CPATH</w:t>
            </w:r>
          </w:p>
          <w:p w14:paraId="3D7BF10D" w14:textId="77777777" w:rsidR="00034851" w:rsidRDefault="0020243B">
            <w:pPr>
              <w:rPr>
                <w:rFonts w:ascii="Arial" w:eastAsia="Arial" w:hAnsi="Arial" w:cs="Arial"/>
              </w:rPr>
            </w:pPr>
            <w:r>
              <w:rPr>
                <w:rFonts w:ascii="Arial" w:eastAsia="Arial" w:hAnsi="Arial" w:cs="Arial"/>
              </w:rPr>
              <w:t>KKM</w:t>
            </w:r>
          </w:p>
        </w:tc>
        <w:tc>
          <w:tcPr>
            <w:tcW w:w="3510" w:type="dxa"/>
          </w:tcPr>
          <w:p w14:paraId="56DB5D15" w14:textId="77777777" w:rsidR="00034851" w:rsidRDefault="0020243B">
            <w:pPr>
              <w:rPr>
                <w:rFonts w:ascii="Arial" w:eastAsia="Arial" w:hAnsi="Arial" w:cs="Arial"/>
                <w:highlight w:val="white"/>
              </w:rPr>
            </w:pPr>
            <w:r>
              <w:rPr>
                <w:rFonts w:ascii="Arial" w:eastAsia="Arial" w:hAnsi="Arial" w:cs="Arial"/>
                <w:highlight w:val="white"/>
              </w:rPr>
              <w:t>Guidelines on Retention of Pathology Records and Materials, Part I (VERSION 1/2005)</w:t>
            </w:r>
          </w:p>
          <w:p w14:paraId="388ED4E8" w14:textId="77777777" w:rsidR="00034851" w:rsidRDefault="00726687">
            <w:pPr>
              <w:rPr>
                <w:rFonts w:ascii="Arial" w:eastAsia="Arial" w:hAnsi="Arial" w:cs="Arial"/>
                <w:highlight w:val="white"/>
              </w:rPr>
            </w:pPr>
            <w:hyperlink r:id="rId8">
              <w:r w:rsidR="0020243B">
                <w:rPr>
                  <w:rFonts w:ascii="Arial" w:eastAsia="Arial" w:hAnsi="Arial" w:cs="Arial"/>
                  <w:color w:val="1155CC"/>
                  <w:highlight w:val="white"/>
                  <w:u w:val="single"/>
                </w:rPr>
                <w:t>http://mjpath.org.my/past_issue/MJP2005.1/10-guideline.pdf</w:t>
              </w:r>
            </w:hyperlink>
          </w:p>
        </w:tc>
        <w:tc>
          <w:tcPr>
            <w:tcW w:w="1575" w:type="dxa"/>
          </w:tcPr>
          <w:p w14:paraId="5A8A9FCC" w14:textId="77777777" w:rsidR="00034851" w:rsidRDefault="0020243B">
            <w:pPr>
              <w:rPr>
                <w:rFonts w:ascii="Arial" w:eastAsia="Arial" w:hAnsi="Arial" w:cs="Arial"/>
              </w:rPr>
            </w:pPr>
            <w:r>
              <w:rPr>
                <w:rFonts w:ascii="Arial" w:eastAsia="Arial" w:hAnsi="Arial" w:cs="Arial"/>
              </w:rPr>
              <w:t>SC 2</w:t>
            </w:r>
          </w:p>
        </w:tc>
      </w:tr>
      <w:tr w:rsidR="00034851" w14:paraId="3EA84682" w14:textId="77777777">
        <w:tc>
          <w:tcPr>
            <w:tcW w:w="1485" w:type="dxa"/>
          </w:tcPr>
          <w:p w14:paraId="7BF8E79A" w14:textId="77777777" w:rsidR="00034851" w:rsidRDefault="0020243B">
            <w:pPr>
              <w:rPr>
                <w:rFonts w:ascii="Arial" w:eastAsia="Arial" w:hAnsi="Arial" w:cs="Arial"/>
              </w:rPr>
            </w:pPr>
            <w:r>
              <w:rPr>
                <w:rFonts w:ascii="Arial" w:eastAsia="Arial" w:hAnsi="Arial" w:cs="Arial"/>
              </w:rPr>
              <w:t>SAMM</w:t>
            </w:r>
          </w:p>
        </w:tc>
        <w:tc>
          <w:tcPr>
            <w:tcW w:w="2055" w:type="dxa"/>
          </w:tcPr>
          <w:p w14:paraId="16D9E7EC" w14:textId="77777777" w:rsidR="00034851" w:rsidRDefault="0020243B">
            <w:pPr>
              <w:rPr>
                <w:rFonts w:ascii="Arial" w:eastAsia="Arial" w:hAnsi="Arial" w:cs="Arial"/>
              </w:rPr>
            </w:pPr>
            <w:r>
              <w:rPr>
                <w:rFonts w:ascii="Arial" w:eastAsia="Arial" w:hAnsi="Arial" w:cs="Arial"/>
              </w:rPr>
              <w:t>Medical Testing</w:t>
            </w:r>
          </w:p>
          <w:p w14:paraId="40A30EA5" w14:textId="77777777" w:rsidR="00034851" w:rsidRDefault="00034851">
            <w:pPr>
              <w:rPr>
                <w:rFonts w:ascii="Arial" w:eastAsia="Arial" w:hAnsi="Arial" w:cs="Arial"/>
              </w:rPr>
            </w:pPr>
          </w:p>
        </w:tc>
        <w:tc>
          <w:tcPr>
            <w:tcW w:w="4665" w:type="dxa"/>
          </w:tcPr>
          <w:p w14:paraId="4A759579" w14:textId="77777777" w:rsidR="00034851" w:rsidRDefault="0020243B">
            <w:pPr>
              <w:rPr>
                <w:rFonts w:ascii="Arial" w:eastAsia="Arial" w:hAnsi="Arial" w:cs="Arial"/>
                <w:highlight w:val="white"/>
              </w:rPr>
            </w:pPr>
            <w:r>
              <w:rPr>
                <w:rFonts w:ascii="Arial" w:eastAsia="Arial" w:hAnsi="Arial" w:cs="Arial"/>
                <w:highlight w:val="white"/>
              </w:rPr>
              <w:t>The proper human tissue management by the laboratory.</w:t>
            </w:r>
          </w:p>
        </w:tc>
        <w:tc>
          <w:tcPr>
            <w:tcW w:w="1455" w:type="dxa"/>
          </w:tcPr>
          <w:p w14:paraId="1BF43261" w14:textId="77777777" w:rsidR="00034851" w:rsidRDefault="0020243B">
            <w:pPr>
              <w:rPr>
                <w:rFonts w:ascii="Arial" w:eastAsia="Arial" w:hAnsi="Arial" w:cs="Arial"/>
              </w:rPr>
            </w:pPr>
            <w:r>
              <w:rPr>
                <w:rFonts w:ascii="Arial" w:eastAsia="Arial" w:hAnsi="Arial" w:cs="Arial"/>
              </w:rPr>
              <w:t>KKM</w:t>
            </w:r>
          </w:p>
        </w:tc>
        <w:tc>
          <w:tcPr>
            <w:tcW w:w="3510" w:type="dxa"/>
          </w:tcPr>
          <w:p w14:paraId="023D6A8A" w14:textId="77777777" w:rsidR="00034851" w:rsidRDefault="0020243B">
            <w:pPr>
              <w:rPr>
                <w:rFonts w:ascii="Arial" w:eastAsia="Arial" w:hAnsi="Arial" w:cs="Arial"/>
                <w:highlight w:val="white"/>
              </w:rPr>
            </w:pPr>
            <w:proofErr w:type="spellStart"/>
            <w:r>
              <w:rPr>
                <w:rFonts w:ascii="Arial" w:eastAsia="Arial" w:hAnsi="Arial" w:cs="Arial"/>
                <w:highlight w:val="white"/>
              </w:rPr>
              <w:t>Akta</w:t>
            </w:r>
            <w:proofErr w:type="spellEnd"/>
            <w:r>
              <w:rPr>
                <w:rFonts w:ascii="Arial" w:eastAsia="Arial" w:hAnsi="Arial" w:cs="Arial"/>
                <w:highlight w:val="white"/>
              </w:rPr>
              <w:t xml:space="preserve"> 130 </w:t>
            </w:r>
            <w:proofErr w:type="spellStart"/>
            <w:r>
              <w:rPr>
                <w:rFonts w:ascii="Arial" w:eastAsia="Arial" w:hAnsi="Arial" w:cs="Arial"/>
                <w:highlight w:val="white"/>
              </w:rPr>
              <w:t>Akta</w:t>
            </w:r>
            <w:proofErr w:type="spellEnd"/>
            <w:r>
              <w:rPr>
                <w:rFonts w:ascii="Arial" w:eastAsia="Arial" w:hAnsi="Arial" w:cs="Arial"/>
                <w:highlight w:val="white"/>
              </w:rPr>
              <w:t xml:space="preserve"> </w:t>
            </w:r>
            <w:proofErr w:type="spellStart"/>
            <w:r>
              <w:rPr>
                <w:rFonts w:ascii="Arial" w:eastAsia="Arial" w:hAnsi="Arial" w:cs="Arial"/>
                <w:highlight w:val="white"/>
              </w:rPr>
              <w:t>Tisu</w:t>
            </w:r>
            <w:proofErr w:type="spellEnd"/>
            <w:r>
              <w:rPr>
                <w:rFonts w:ascii="Arial" w:eastAsia="Arial" w:hAnsi="Arial" w:cs="Arial"/>
                <w:highlight w:val="white"/>
              </w:rPr>
              <w:t xml:space="preserve"> </w:t>
            </w:r>
            <w:proofErr w:type="spellStart"/>
            <w:r>
              <w:rPr>
                <w:rFonts w:ascii="Arial" w:eastAsia="Arial" w:hAnsi="Arial" w:cs="Arial"/>
                <w:highlight w:val="white"/>
              </w:rPr>
              <w:t>Manusia</w:t>
            </w:r>
            <w:proofErr w:type="spellEnd"/>
            <w:r>
              <w:rPr>
                <w:rFonts w:ascii="Arial" w:eastAsia="Arial" w:hAnsi="Arial" w:cs="Arial"/>
                <w:highlight w:val="white"/>
              </w:rPr>
              <w:t xml:space="preserve"> 1974; </w:t>
            </w:r>
            <w:proofErr w:type="spellStart"/>
            <w:r>
              <w:rPr>
                <w:rFonts w:ascii="Arial" w:eastAsia="Arial" w:hAnsi="Arial" w:cs="Arial"/>
                <w:highlight w:val="white"/>
              </w:rPr>
              <w:t>Mengandungi</w:t>
            </w:r>
            <w:proofErr w:type="spellEnd"/>
            <w:r>
              <w:rPr>
                <w:rFonts w:ascii="Arial" w:eastAsia="Arial" w:hAnsi="Arial" w:cs="Arial"/>
                <w:highlight w:val="white"/>
              </w:rPr>
              <w:t xml:space="preserve"> </w:t>
            </w:r>
            <w:proofErr w:type="spellStart"/>
            <w:proofErr w:type="gramStart"/>
            <w:r>
              <w:rPr>
                <w:rFonts w:ascii="Arial" w:eastAsia="Arial" w:hAnsi="Arial" w:cs="Arial"/>
                <w:highlight w:val="white"/>
              </w:rPr>
              <w:t>Pindaan</w:t>
            </w:r>
            <w:proofErr w:type="spellEnd"/>
            <w:r>
              <w:rPr>
                <w:rFonts w:ascii="Arial" w:eastAsia="Arial" w:hAnsi="Arial" w:cs="Arial"/>
                <w:highlight w:val="white"/>
              </w:rPr>
              <w:t xml:space="preserve">  </w:t>
            </w:r>
            <w:proofErr w:type="spellStart"/>
            <w:r>
              <w:rPr>
                <w:rFonts w:ascii="Arial" w:eastAsia="Arial" w:hAnsi="Arial" w:cs="Arial"/>
                <w:highlight w:val="white"/>
              </w:rPr>
              <w:t>hingga</w:t>
            </w:r>
            <w:proofErr w:type="spellEnd"/>
            <w:proofErr w:type="gramEnd"/>
            <w:r>
              <w:rPr>
                <w:rFonts w:ascii="Arial" w:eastAsia="Arial" w:hAnsi="Arial" w:cs="Arial"/>
                <w:highlight w:val="white"/>
              </w:rPr>
              <w:t xml:space="preserve"> 1 </w:t>
            </w:r>
            <w:proofErr w:type="spellStart"/>
            <w:r>
              <w:rPr>
                <w:rFonts w:ascii="Arial" w:eastAsia="Arial" w:hAnsi="Arial" w:cs="Arial"/>
                <w:highlight w:val="white"/>
              </w:rPr>
              <w:t>Januari</w:t>
            </w:r>
            <w:proofErr w:type="spellEnd"/>
            <w:r>
              <w:rPr>
                <w:rFonts w:ascii="Arial" w:eastAsia="Arial" w:hAnsi="Arial" w:cs="Arial"/>
                <w:highlight w:val="white"/>
              </w:rPr>
              <w:t xml:space="preserve"> 2006</w:t>
            </w:r>
          </w:p>
          <w:p w14:paraId="092CE58F" w14:textId="77777777" w:rsidR="00034851" w:rsidRDefault="00726687">
            <w:pPr>
              <w:rPr>
                <w:rFonts w:ascii="Arial" w:eastAsia="Arial" w:hAnsi="Arial" w:cs="Arial"/>
                <w:highlight w:val="white"/>
              </w:rPr>
            </w:pPr>
            <w:hyperlink r:id="rId9">
              <w:r w:rsidR="0020243B">
                <w:rPr>
                  <w:rFonts w:ascii="Arial" w:eastAsia="Arial" w:hAnsi="Arial" w:cs="Arial"/>
                  <w:color w:val="1155CC"/>
                  <w:highlight w:val="white"/>
                  <w:u w:val="single"/>
                </w:rPr>
                <w:t>http://www.moh.gov.my/index.php/pages/view/403</w:t>
              </w:r>
            </w:hyperlink>
          </w:p>
        </w:tc>
        <w:tc>
          <w:tcPr>
            <w:tcW w:w="1575" w:type="dxa"/>
          </w:tcPr>
          <w:p w14:paraId="1A6F65FC" w14:textId="77777777" w:rsidR="00034851" w:rsidRDefault="00034851">
            <w:pPr>
              <w:rPr>
                <w:rFonts w:ascii="Arial" w:eastAsia="Arial" w:hAnsi="Arial" w:cs="Arial"/>
              </w:rPr>
            </w:pPr>
          </w:p>
        </w:tc>
      </w:tr>
      <w:tr w:rsidR="00034851" w14:paraId="44A5D473" w14:textId="77777777">
        <w:tc>
          <w:tcPr>
            <w:tcW w:w="1485" w:type="dxa"/>
          </w:tcPr>
          <w:p w14:paraId="58A5CF3E" w14:textId="77777777" w:rsidR="00034851" w:rsidRDefault="0020243B">
            <w:pPr>
              <w:rPr>
                <w:rFonts w:ascii="Arial" w:eastAsia="Arial" w:hAnsi="Arial" w:cs="Arial"/>
              </w:rPr>
            </w:pPr>
            <w:r>
              <w:rPr>
                <w:rFonts w:ascii="Arial" w:eastAsia="Arial" w:hAnsi="Arial" w:cs="Arial"/>
              </w:rPr>
              <w:t>SAMM</w:t>
            </w:r>
          </w:p>
        </w:tc>
        <w:tc>
          <w:tcPr>
            <w:tcW w:w="2055" w:type="dxa"/>
          </w:tcPr>
          <w:p w14:paraId="6C0C4FCB" w14:textId="77777777" w:rsidR="00034851" w:rsidRDefault="0020243B">
            <w:pPr>
              <w:rPr>
                <w:rFonts w:ascii="Arial" w:eastAsia="Arial" w:hAnsi="Arial" w:cs="Arial"/>
              </w:rPr>
            </w:pPr>
            <w:r>
              <w:rPr>
                <w:rFonts w:ascii="Arial" w:eastAsia="Arial" w:hAnsi="Arial" w:cs="Arial"/>
              </w:rPr>
              <w:t>Medical Testing</w:t>
            </w:r>
          </w:p>
          <w:p w14:paraId="2F5E0985" w14:textId="77777777" w:rsidR="00034851" w:rsidRDefault="00034851">
            <w:pPr>
              <w:rPr>
                <w:rFonts w:ascii="Arial" w:eastAsia="Arial" w:hAnsi="Arial" w:cs="Arial"/>
              </w:rPr>
            </w:pPr>
          </w:p>
        </w:tc>
        <w:tc>
          <w:tcPr>
            <w:tcW w:w="4665" w:type="dxa"/>
          </w:tcPr>
          <w:p w14:paraId="45A00703" w14:textId="234F1E6A" w:rsidR="00034851" w:rsidRDefault="0020243B">
            <w:pPr>
              <w:rPr>
                <w:rFonts w:ascii="Arial" w:eastAsia="Arial" w:hAnsi="Arial" w:cs="Arial"/>
                <w:highlight w:val="white"/>
              </w:rPr>
            </w:pPr>
            <w:r>
              <w:rPr>
                <w:rFonts w:ascii="Arial" w:eastAsia="Arial" w:hAnsi="Arial" w:cs="Arial"/>
                <w:highlight w:val="white"/>
              </w:rPr>
              <w:t xml:space="preserve">The participating laboratories must be accredited and certified with MS ISO 15189 for all laboratory tests identified under the Concession within </w:t>
            </w:r>
            <w:r w:rsidR="00AD61D2">
              <w:rPr>
                <w:rFonts w:ascii="Arial" w:eastAsia="Arial" w:hAnsi="Arial" w:cs="Arial"/>
                <w:highlight w:val="white"/>
              </w:rPr>
              <w:t>twenty-four</w:t>
            </w:r>
            <w:r>
              <w:rPr>
                <w:rFonts w:ascii="Arial" w:eastAsia="Arial" w:hAnsi="Arial" w:cs="Arial"/>
                <w:highlight w:val="white"/>
              </w:rPr>
              <w:t xml:space="preserve"> (24) months upon signing of the Agreement</w:t>
            </w:r>
          </w:p>
        </w:tc>
        <w:tc>
          <w:tcPr>
            <w:tcW w:w="1455" w:type="dxa"/>
          </w:tcPr>
          <w:p w14:paraId="2739D3CF" w14:textId="77777777" w:rsidR="00034851" w:rsidRDefault="0020243B">
            <w:pPr>
              <w:rPr>
                <w:rFonts w:ascii="Arial" w:eastAsia="Arial" w:hAnsi="Arial" w:cs="Arial"/>
              </w:rPr>
            </w:pPr>
            <w:r>
              <w:rPr>
                <w:rFonts w:ascii="Arial" w:eastAsia="Arial" w:hAnsi="Arial" w:cs="Arial"/>
              </w:rPr>
              <w:t>FOMEMA</w:t>
            </w:r>
          </w:p>
        </w:tc>
        <w:tc>
          <w:tcPr>
            <w:tcW w:w="3510" w:type="dxa"/>
          </w:tcPr>
          <w:p w14:paraId="707F7E3E" w14:textId="77777777" w:rsidR="00034851" w:rsidRDefault="0020243B">
            <w:pPr>
              <w:rPr>
                <w:rFonts w:ascii="Arial" w:eastAsia="Arial" w:hAnsi="Arial" w:cs="Arial"/>
                <w:highlight w:val="white"/>
              </w:rPr>
            </w:pPr>
            <w:r>
              <w:rPr>
                <w:rFonts w:ascii="Arial" w:eastAsia="Arial" w:hAnsi="Arial" w:cs="Arial"/>
                <w:highlight w:val="white"/>
              </w:rPr>
              <w:t>FOMEMA SOP -</w:t>
            </w:r>
          </w:p>
          <w:p w14:paraId="661B0CC1" w14:textId="77777777" w:rsidR="00034851" w:rsidRDefault="0020243B">
            <w:pPr>
              <w:rPr>
                <w:rFonts w:ascii="Arial" w:eastAsia="Arial" w:hAnsi="Arial" w:cs="Arial"/>
                <w:highlight w:val="white"/>
              </w:rPr>
            </w:pPr>
            <w:r>
              <w:rPr>
                <w:rFonts w:ascii="Arial" w:eastAsia="Arial" w:hAnsi="Arial" w:cs="Arial"/>
                <w:highlight w:val="white"/>
              </w:rPr>
              <w:t>SOP for Laboratories Registered with FOMEMA</w:t>
            </w:r>
          </w:p>
        </w:tc>
        <w:tc>
          <w:tcPr>
            <w:tcW w:w="1575" w:type="dxa"/>
          </w:tcPr>
          <w:p w14:paraId="36C5283F" w14:textId="77777777" w:rsidR="00034851" w:rsidRDefault="00034851">
            <w:pPr>
              <w:rPr>
                <w:rFonts w:ascii="Arial" w:eastAsia="Arial" w:hAnsi="Arial" w:cs="Arial"/>
              </w:rPr>
            </w:pPr>
          </w:p>
        </w:tc>
      </w:tr>
    </w:tbl>
    <w:p w14:paraId="26448022" w14:textId="77777777" w:rsidR="00034851" w:rsidRDefault="00034851"/>
    <w:p w14:paraId="2CF4580B" w14:textId="77777777" w:rsidR="00034851" w:rsidRDefault="00034851"/>
    <w:sectPr w:rsidR="00034851">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771AE"/>
    <w:multiLevelType w:val="multilevel"/>
    <w:tmpl w:val="FCB2F43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054DEB"/>
    <w:multiLevelType w:val="multilevel"/>
    <w:tmpl w:val="F4004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5E6464"/>
    <w:multiLevelType w:val="multilevel"/>
    <w:tmpl w:val="34DA0BA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4156448">
    <w:abstractNumId w:val="1"/>
  </w:num>
  <w:num w:numId="2" w16cid:durableId="1312978147">
    <w:abstractNumId w:val="0"/>
  </w:num>
  <w:num w:numId="3" w16cid:durableId="1784376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51"/>
    <w:rsid w:val="00034851"/>
    <w:rsid w:val="001F0DD5"/>
    <w:rsid w:val="0020243B"/>
    <w:rsid w:val="00726687"/>
    <w:rsid w:val="007D68C4"/>
    <w:rsid w:val="00AD61D2"/>
    <w:rsid w:val="00F46AF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0681"/>
  <w15:docId w15:val="{19625023-D5DF-4487-B404-CD61E293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jpath.org.my/past_issue/MJP2005.1/10-guideline.pdf" TargetMode="External"/><Relationship Id="rId3" Type="http://schemas.openxmlformats.org/officeDocument/2006/relationships/settings" Target="settings.xml"/><Relationship Id="rId7" Type="http://schemas.openxmlformats.org/officeDocument/2006/relationships/hyperlink" Target="https://portal.mda.gov.my/doc-list/circular-let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ralgazette.agc.gov.my/outputaktap/20120209_737_BI_JW001759%20Act%20737%20(BI).pdf" TargetMode="External"/><Relationship Id="rId11" Type="http://schemas.openxmlformats.org/officeDocument/2006/relationships/theme" Target="theme/theme1.xml"/><Relationship Id="rId5" Type="http://schemas.openxmlformats.org/officeDocument/2006/relationships/hyperlink" Target="https://www.mma.org.my/images/pdfs/Link-LawOfMsiaAct/private-healthcare-facilities-and-services-act-199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h.gov.my/index.php/pages/view/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LAPTOP-PF3AKA7H</dc:creator>
  <cp:lastModifiedBy>Haniza</cp:lastModifiedBy>
  <cp:revision>2</cp:revision>
  <dcterms:created xsi:type="dcterms:W3CDTF">2022-07-07T03:54:00Z</dcterms:created>
  <dcterms:modified xsi:type="dcterms:W3CDTF">2022-07-07T03:54:00Z</dcterms:modified>
</cp:coreProperties>
</file>